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93737" w14:textId="1BB30834" w:rsidR="008331FB" w:rsidRDefault="008331FB" w:rsidP="00A34E5C">
      <w:pPr>
        <w:pStyle w:val="Heading1"/>
        <w:jc w:val="center"/>
        <w:rPr>
          <w:i/>
          <w:iCs/>
        </w:rPr>
      </w:pPr>
      <w:r w:rsidRPr="008331FB">
        <w:rPr>
          <w:i/>
          <w:iCs/>
        </w:rPr>
        <w:t>1845 Retrospective</w:t>
      </w:r>
    </w:p>
    <w:p w14:paraId="135F5F96" w14:textId="619E972D" w:rsidR="008331FB" w:rsidRDefault="008331FB" w:rsidP="00A34E5C">
      <w:pPr>
        <w:pStyle w:val="Heading2"/>
        <w:jc w:val="center"/>
      </w:pPr>
      <w:r>
        <w:t>Major change for my great grandmother Johanne Louise Bradtke</w:t>
      </w:r>
    </w:p>
    <w:p w14:paraId="406DEB55" w14:textId="17461F64" w:rsidR="00A34E5C" w:rsidRDefault="00A34E5C" w:rsidP="00A34E5C">
      <w:pPr>
        <w:pStyle w:val="Heading3"/>
        <w:jc w:val="center"/>
      </w:pPr>
      <w:r w:rsidRPr="00A34E5C">
        <w:t>Prepared by Philip Mann for the Wednesday 3 December 2025 Lunch Meeting of The Pioneers Association of South Australia Inc.</w:t>
      </w:r>
    </w:p>
    <w:p w14:paraId="7360B7DA" w14:textId="77777777" w:rsidR="000F3931" w:rsidRDefault="000F3931" w:rsidP="00FE702F">
      <w:r>
        <w:t>I will cover 1845 from the perspective of m</w:t>
      </w:r>
      <w:r w:rsidR="00FE702F" w:rsidRPr="00FE702F">
        <w:t>y great grandmother, Johanne Louise (“Louise”) Bradtke</w:t>
      </w:r>
      <w:r>
        <w:t>.</w:t>
      </w:r>
    </w:p>
    <w:p w14:paraId="26941D17" w14:textId="29648D14" w:rsidR="00FE702F" w:rsidRPr="00FE702F" w:rsidRDefault="000F3931" w:rsidP="00FE702F">
      <w:r>
        <w:t>She</w:t>
      </w:r>
      <w:r w:rsidR="00FE702F" w:rsidRPr="00FE702F">
        <w:t xml:space="preserve"> was the eldest child of the </w:t>
      </w:r>
      <w:r>
        <w:t xml:space="preserve">5 </w:t>
      </w:r>
      <w:r w:rsidR="00FE702F" w:rsidRPr="00FE702F">
        <w:t xml:space="preserve">Bradtke children who arrived in South Australia on the </w:t>
      </w:r>
      <w:proofErr w:type="spellStart"/>
      <w:r w:rsidR="00FE702F" w:rsidRPr="00FE702F">
        <w:t>Heerjeebhoy</w:t>
      </w:r>
      <w:proofErr w:type="spellEnd"/>
      <w:r w:rsidR="00FE702F" w:rsidRPr="00FE702F">
        <w:t xml:space="preserve"> </w:t>
      </w:r>
      <w:proofErr w:type="spellStart"/>
      <w:r w:rsidR="00FE702F" w:rsidRPr="00FE702F">
        <w:t>Rustomjee</w:t>
      </w:r>
      <w:proofErr w:type="spellEnd"/>
      <w:r w:rsidR="00FE702F" w:rsidRPr="00FE702F">
        <w:t xml:space="preserve"> Patel in 1845.</w:t>
      </w:r>
    </w:p>
    <w:p w14:paraId="1B2CCCCE" w14:textId="54F5C4BC" w:rsidR="00FE702F" w:rsidRPr="00FE702F" w:rsidRDefault="00FE702F" w:rsidP="00FE702F">
      <w:r w:rsidRPr="00FE702F">
        <w:t>Louise was born in Cicha Gora, Posen, Prussia, to Anna Rosina Dorothea Schlinke (later Bradtke) on 7 June 1823</w:t>
      </w:r>
      <w:r>
        <w:t xml:space="preserve"> but details of her</w:t>
      </w:r>
      <w:r w:rsidRPr="00FE702F">
        <w:t xml:space="preserve"> father are unknown</w:t>
      </w:r>
      <w:r>
        <w:rPr>
          <w:rStyle w:val="FootnoteReference"/>
        </w:rPr>
        <w:footnoteReference w:id="1"/>
      </w:r>
      <w:r w:rsidR="00FB61CA">
        <w:t xml:space="preserve"> at this stage</w:t>
      </w:r>
      <w:r w:rsidRPr="00FE702F">
        <w:t>.</w:t>
      </w:r>
      <w:r w:rsidR="000A762A">
        <w:t xml:space="preserve"> Her mother married the blacksmith, Wilhelm Bradtke, in 1829.</w:t>
      </w:r>
    </w:p>
    <w:p w14:paraId="4291EE53" w14:textId="76A4AD29" w:rsidR="00A34E5C" w:rsidRDefault="00CF7EA5" w:rsidP="00A34E5C">
      <w:r w:rsidRPr="00CF7EA5">
        <w:t xml:space="preserve">Cicha Góra is a village 5kms from </w:t>
      </w:r>
      <w:proofErr w:type="spellStart"/>
      <w:r w:rsidRPr="00CF7EA5">
        <w:t>Neutomischel</w:t>
      </w:r>
      <w:proofErr w:type="spellEnd"/>
      <w:r w:rsidRPr="00CF7EA5">
        <w:t xml:space="preserve"> (Nowy </w:t>
      </w:r>
      <w:proofErr w:type="spellStart"/>
      <w:r w:rsidRPr="00CF7EA5">
        <w:t>Tomyśl</w:t>
      </w:r>
      <w:proofErr w:type="spellEnd"/>
      <w:r w:rsidRPr="00CF7EA5">
        <w:t xml:space="preserve"> in Polish) in Posen. Its location is shown in the extract from Google Maps.</w:t>
      </w:r>
      <w:r>
        <w:rPr>
          <w:noProof/>
        </w:rPr>
        <w:drawing>
          <wp:inline distT="0" distB="0" distL="0" distR="0" wp14:anchorId="31836495" wp14:editId="3E21641C">
            <wp:extent cx="5731510" cy="3448050"/>
            <wp:effectExtent l="0" t="0" r="2540" b="0"/>
            <wp:docPr id="42787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1900" name="Picture 1"/>
                    <pic:cNvPicPr>
                      <a:picLocks noChangeAspect="1"/>
                    </pic:cNvPicPr>
                  </pic:nvPicPr>
                  <pic:blipFill>
                    <a:blip r:embed="rId7"/>
                    <a:stretch>
                      <a:fillRect/>
                    </a:stretch>
                  </pic:blipFill>
                  <pic:spPr>
                    <a:xfrm>
                      <a:off x="0" y="0"/>
                      <a:ext cx="5731510" cy="3448050"/>
                    </a:xfrm>
                    <a:prstGeom prst="rect">
                      <a:avLst/>
                    </a:prstGeom>
                  </pic:spPr>
                </pic:pic>
              </a:graphicData>
            </a:graphic>
          </wp:inline>
        </w:drawing>
      </w:r>
    </w:p>
    <w:p w14:paraId="4F2E056B" w14:textId="77777777" w:rsidR="00CF7EA5" w:rsidRPr="00CF7EA5" w:rsidRDefault="00CF7EA5" w:rsidP="00CF7EA5">
      <w:r w:rsidRPr="00CF7EA5">
        <w:t>The history of Cicha Góra, which follows, has been extracted from the history page on the village’s website</w:t>
      </w:r>
      <w:r w:rsidRPr="00CF7EA5">
        <w:rPr>
          <w:vertAlign w:val="superscript"/>
        </w:rPr>
        <w:footnoteReference w:id="2"/>
      </w:r>
      <w:r w:rsidRPr="00CF7EA5">
        <w:t xml:space="preserve">. </w:t>
      </w:r>
    </w:p>
    <w:p w14:paraId="3392C1CC" w14:textId="6B29A77D" w:rsidR="00CF7EA5" w:rsidRPr="00CF7EA5" w:rsidRDefault="000F3931" w:rsidP="00CF7EA5">
      <w:r>
        <w:lastRenderedPageBreak/>
        <w:t>It was establis</w:t>
      </w:r>
      <w:r w:rsidR="00DA4647">
        <w:t>h</w:t>
      </w:r>
      <w:r>
        <w:t xml:space="preserve">ed on </w:t>
      </w:r>
      <w:r w:rsidRPr="00CF7EA5">
        <w:t>11 November 1757</w:t>
      </w:r>
      <w:r w:rsidR="00CF7EA5" w:rsidRPr="00CF7EA5">
        <w:t xml:space="preserve"> as a location for an </w:t>
      </w:r>
      <w:proofErr w:type="spellStart"/>
      <w:r w:rsidR="00CF7EA5" w:rsidRPr="00CF7EA5">
        <w:t>Olęder</w:t>
      </w:r>
      <w:proofErr w:type="spellEnd"/>
      <w:r w:rsidR="00CF7EA5" w:rsidRPr="00CF7EA5">
        <w:t xml:space="preserve"> (German </w:t>
      </w:r>
      <w:proofErr w:type="spellStart"/>
      <w:r w:rsidR="00CF7EA5" w:rsidRPr="00CF7EA5">
        <w:t>Haulander</w:t>
      </w:r>
      <w:proofErr w:type="spellEnd"/>
      <w:r w:rsidR="00CF7EA5" w:rsidRPr="00CF7EA5">
        <w:t>) settlement created by clearing the forest and improving the land.</w:t>
      </w:r>
    </w:p>
    <w:p w14:paraId="2021867A" w14:textId="172B65A5" w:rsidR="00CF7EA5" w:rsidRPr="00CF7EA5" w:rsidRDefault="00CF7EA5" w:rsidP="00CF7EA5">
      <w:r w:rsidRPr="00CF7EA5">
        <w:t>The</w:t>
      </w:r>
      <w:r w:rsidR="00D72FB6">
        <w:t xml:space="preserve"> Polish </w:t>
      </w:r>
      <w:r w:rsidRPr="00CF7EA5">
        <w:t xml:space="preserve">landowners who settled German colonists wished to increase the area of </w:t>
      </w:r>
      <w:r w:rsidRPr="00CF7EA5">
        <w:rPr>
          <w:rFonts w:ascii="Arial" w:hAnsi="Arial" w:cs="Arial"/>
        </w:rPr>
        <w:t>​​</w:t>
      </w:r>
      <w:r w:rsidRPr="00CF7EA5">
        <w:t>cultivation and the profitability of their estates by collecting rents from the settlers.</w:t>
      </w:r>
    </w:p>
    <w:p w14:paraId="077DD447" w14:textId="76E7266E" w:rsidR="00CF7EA5" w:rsidRDefault="00CF7EA5" w:rsidP="00CF7EA5">
      <w:r w:rsidRPr="00CF7EA5">
        <w:t>Taking advantage of the specific soil and climate conditions, they cultivated hops and wicker, among other things. In addition, they were engaged in animal breeding, beekeeping, fishing, crafts, trade and ran inns, which may have been what Daniel Schlinke’s father did.</w:t>
      </w:r>
    </w:p>
    <w:p w14:paraId="279AB31E" w14:textId="5E8F34AE" w:rsidR="00582ADC" w:rsidRPr="00582ADC" w:rsidRDefault="00582ADC" w:rsidP="00582ADC">
      <w:pPr>
        <w:jc w:val="center"/>
      </w:pPr>
      <w:r w:rsidRPr="00582ADC">
        <w:rPr>
          <w:noProof/>
        </w:rPr>
        <w:drawing>
          <wp:inline distT="0" distB="0" distL="0" distR="0" wp14:anchorId="727D8FB3" wp14:editId="407EE11F">
            <wp:extent cx="2857500" cy="1895475"/>
            <wp:effectExtent l="0" t="0" r="0" b="9525"/>
            <wp:docPr id="1350658225" name="Picture 2" descr="View over the hop fields of Cicha 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ver the hop fields of Cicha Gó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14:paraId="74D647AF" w14:textId="7D7CB056" w:rsidR="00582ADC" w:rsidRPr="00582ADC" w:rsidRDefault="00582ADC" w:rsidP="00582ADC">
      <w:pPr>
        <w:jc w:val="center"/>
        <w:rPr>
          <w:i/>
          <w:iCs/>
        </w:rPr>
      </w:pPr>
      <w:r w:rsidRPr="00582ADC">
        <w:rPr>
          <w:i/>
          <w:iCs/>
        </w:rPr>
        <w:t xml:space="preserve">Figure </w:t>
      </w:r>
      <w:r w:rsidRPr="00582ADC">
        <w:rPr>
          <w:i/>
          <w:iCs/>
        </w:rPr>
        <w:fldChar w:fldCharType="begin"/>
      </w:r>
      <w:r w:rsidRPr="00582ADC">
        <w:rPr>
          <w:i/>
          <w:iCs/>
        </w:rPr>
        <w:instrText xml:space="preserve"> SEQ Figure \* ARABIC </w:instrText>
      </w:r>
      <w:r w:rsidRPr="00582ADC">
        <w:rPr>
          <w:i/>
          <w:iCs/>
        </w:rPr>
        <w:fldChar w:fldCharType="separate"/>
      </w:r>
      <w:r w:rsidR="00C972AF">
        <w:rPr>
          <w:i/>
          <w:iCs/>
          <w:noProof/>
        </w:rPr>
        <w:t>1</w:t>
      </w:r>
      <w:r w:rsidRPr="00582ADC">
        <w:fldChar w:fldCharType="end"/>
      </w:r>
      <w:r w:rsidRPr="00582ADC">
        <w:rPr>
          <w:i/>
          <w:iCs/>
        </w:rPr>
        <w:t xml:space="preserve"> View over the hop fields of Cicha Góra, </w:t>
      </w:r>
      <w:hyperlink r:id="rId9" w:history="1">
        <w:r w:rsidRPr="00582ADC">
          <w:rPr>
            <w:rStyle w:val="Hyperlink"/>
            <w:i/>
            <w:iCs/>
          </w:rPr>
          <w:t>http://hauland.de/aus-der-kirchenchronik-von-hammer-boruy-einweihung-der-kirche-1777-und-einpfarrung-der-gemeinde-chicagora-1817/</w:t>
        </w:r>
      </w:hyperlink>
      <w:r w:rsidRPr="00582ADC">
        <w:rPr>
          <w:i/>
          <w:iCs/>
        </w:rPr>
        <w:t>, accessed 8 June 2025.</w:t>
      </w:r>
    </w:p>
    <w:p w14:paraId="3DB019B0" w14:textId="01F561CB" w:rsidR="00D72FB6" w:rsidRDefault="00D72FB6" w:rsidP="00CF7EA5">
      <w:r>
        <w:t xml:space="preserve">Louise grew up in a rural community, maybe in a cottage </w:t>
      </w:r>
      <w:r w:rsidR="000F3931">
        <w:t>like</w:t>
      </w:r>
      <w:r>
        <w:t xml:space="preserve"> this </w:t>
      </w:r>
      <w:proofErr w:type="gramStart"/>
      <w:r>
        <w:t>300 year old</w:t>
      </w:r>
      <w:proofErr w:type="gramEnd"/>
      <w:r>
        <w:t xml:space="preserve"> cottage (</w:t>
      </w:r>
      <w:r w:rsidR="00947C61">
        <w:t>photo from the Bradtke book, page 18).</w:t>
      </w:r>
      <w:r>
        <w:t xml:space="preserve"> </w:t>
      </w:r>
    </w:p>
    <w:p w14:paraId="3303B043" w14:textId="45B7CE05" w:rsidR="00D72FB6" w:rsidRDefault="00D72FB6" w:rsidP="00CF7EA5">
      <w:r w:rsidRPr="00D72FB6">
        <w:rPr>
          <w:noProof/>
        </w:rPr>
        <w:lastRenderedPageBreak/>
        <w:drawing>
          <wp:inline distT="0" distB="0" distL="0" distR="0" wp14:anchorId="37677B32" wp14:editId="17EDFDCA">
            <wp:extent cx="5727662" cy="3866172"/>
            <wp:effectExtent l="0" t="0" r="6985" b="1270"/>
            <wp:docPr id="5" name="Content Placeholder 4" descr="A wooden house with a thatched roof&#10;&#10;AI-generated content may be incorrect.">
              <a:extLst xmlns:a="http://schemas.openxmlformats.org/drawingml/2006/main">
                <a:ext uri="{FF2B5EF4-FFF2-40B4-BE49-F238E27FC236}">
                  <a16:creationId xmlns:a16="http://schemas.microsoft.com/office/drawing/2014/main" id="{686C40BA-3CB3-CE32-0EAF-14CE0497B7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wooden house with a thatched roof&#10;&#10;AI-generated content may be incorrect.">
                      <a:extLst>
                        <a:ext uri="{FF2B5EF4-FFF2-40B4-BE49-F238E27FC236}">
                          <a16:creationId xmlns:a16="http://schemas.microsoft.com/office/drawing/2014/main" id="{686C40BA-3CB3-CE32-0EAF-14CE0497B757}"/>
                        </a:ext>
                      </a:extLst>
                    </pic:cNvPr>
                    <pic:cNvPicPr>
                      <a:picLocks noGrp="1" noChangeAspect="1"/>
                    </pic:cNvPicPr>
                  </pic:nvPicPr>
                  <pic:blipFill>
                    <a:blip r:embed="rId10"/>
                    <a:stretch>
                      <a:fillRect/>
                    </a:stretch>
                  </pic:blipFill>
                  <pic:spPr>
                    <a:xfrm>
                      <a:off x="0" y="0"/>
                      <a:ext cx="5727662" cy="3866172"/>
                    </a:xfrm>
                    <a:prstGeom prst="rect">
                      <a:avLst/>
                    </a:prstGeom>
                  </pic:spPr>
                </pic:pic>
              </a:graphicData>
            </a:graphic>
          </wp:inline>
        </w:drawing>
      </w:r>
    </w:p>
    <w:p w14:paraId="731ABBCA" w14:textId="3DB55B40" w:rsidR="000A762A" w:rsidRDefault="000A762A" w:rsidP="00CF7EA5">
      <w:r>
        <w:t>As the oldest girl in a growing family, Louise would have been a major assistant to her mother in caring for and bringing up the younger ones.</w:t>
      </w:r>
    </w:p>
    <w:p w14:paraId="5646AEA2" w14:textId="3914E852" w:rsidR="0061481B" w:rsidRDefault="000A762A" w:rsidP="00CF7EA5">
      <w:r>
        <w:t xml:space="preserve">I have no information on why the family left Cicha Gora. Her uncle, Daniel Schlinke, had come to South Australia with the Old Lutherans and had established a water mill at the new village of Bethany in the Barossa and could well have written of the opportunities in this distant land. </w:t>
      </w:r>
      <w:r w:rsidR="0061481B">
        <w:t xml:space="preserve">The King of Prussia, who had been persecuting the Old Lutherans, had died </w:t>
      </w:r>
      <w:r w:rsidR="00873C2C">
        <w:t xml:space="preserve">in 1840 </w:t>
      </w:r>
      <w:r w:rsidR="0061481B">
        <w:t xml:space="preserve">and religious restrictions were easing. But </w:t>
      </w:r>
      <w:r>
        <w:t>Posen was part of Prussia and, even in the Haulands, the lives</w:t>
      </w:r>
      <w:r w:rsidR="0061481B">
        <w:t xml:space="preserve"> of rural peasants</w:t>
      </w:r>
      <w:r>
        <w:t xml:space="preserve"> would have been very restricted, for example</w:t>
      </w:r>
      <w:r w:rsidR="0061481B">
        <w:t xml:space="preserve">, with ownership of land and who they could marry. </w:t>
      </w:r>
    </w:p>
    <w:p w14:paraId="66B311C2" w14:textId="62404FB2" w:rsidR="000A762A" w:rsidRDefault="0061481B" w:rsidP="00CF7EA5">
      <w:r>
        <w:t xml:space="preserve">It would be reasonable to assume that, at the beginning of 1845, the decision had been </w:t>
      </w:r>
      <w:r w:rsidR="001E38EC">
        <w:t>made,</w:t>
      </w:r>
      <w:r w:rsidR="000A762A">
        <w:t xml:space="preserve"> </w:t>
      </w:r>
      <w:r>
        <w:t>and the</w:t>
      </w:r>
      <w:r w:rsidR="00873C2C">
        <w:t xml:space="preserve"> Bradtke family </w:t>
      </w:r>
      <w:r>
        <w:t xml:space="preserve">would have been disposing of assets they could not take with them and packing up what could come with them. Louise would have been deeply involved in </w:t>
      </w:r>
      <w:r w:rsidR="000F3931">
        <w:t xml:space="preserve">helping her pregnant mother </w:t>
      </w:r>
      <w:r>
        <w:t>car</w:t>
      </w:r>
      <w:r w:rsidR="000F3931">
        <w:t>e</w:t>
      </w:r>
      <w:r>
        <w:t xml:space="preserve"> for and organis</w:t>
      </w:r>
      <w:r w:rsidR="000F3931">
        <w:t>e</w:t>
      </w:r>
      <w:r>
        <w:t xml:space="preserve"> the children. </w:t>
      </w:r>
    </w:p>
    <w:p w14:paraId="6D34602F" w14:textId="400F0C68" w:rsidR="001E38EC" w:rsidRDefault="001E38EC" w:rsidP="00CF7EA5">
      <w:r>
        <w:t xml:space="preserve">And first, they had to get to the port of Bremen. </w:t>
      </w:r>
      <w:r w:rsidR="00FC000A">
        <w:t xml:space="preserve">Today that distance is 584 kilometres (according to Google Maps). There were no trains </w:t>
      </w:r>
      <w:r w:rsidR="00D3662F">
        <w:t xml:space="preserve">from Posen to Bremen </w:t>
      </w:r>
      <w:r w:rsidR="00FC000A">
        <w:t>in 1845</w:t>
      </w:r>
      <w:r w:rsidR="00D3662F">
        <w:t xml:space="preserve">.  </w:t>
      </w:r>
      <w:r w:rsidR="00DA4647">
        <w:t>I</w:t>
      </w:r>
      <w:r w:rsidR="00D3662F" w:rsidRPr="00D3662F">
        <w:t xml:space="preserve">n 1845, </w:t>
      </w:r>
      <w:r w:rsidR="00D3662F">
        <w:t>it</w:t>
      </w:r>
      <w:r w:rsidR="00D3662F" w:rsidRPr="00D3662F">
        <w:t xml:space="preserve"> would have been a multi-stage journey, likely involving horse-drawn coach or wagon for the initial land travel, followed by a boat or steamboat along rivers and canals</w:t>
      </w:r>
      <w:r w:rsidR="00D3662F">
        <w:t xml:space="preserve">. </w:t>
      </w:r>
      <w:r w:rsidR="00D3662F" w:rsidRPr="00D3662F">
        <w:t>The specific route would have depended on available transportation, cost, and the destination of the travel</w:t>
      </w:r>
      <w:r w:rsidR="00D3662F">
        <w:t>l</w:t>
      </w:r>
      <w:r w:rsidR="00D3662F" w:rsidRPr="00D3662F">
        <w:t>er.</w:t>
      </w:r>
      <w:r w:rsidR="00D3662F">
        <w:t xml:space="preserve"> Most of the passengers on this ship were from Posen, Silesia or Brandenburg and their travel arrangements would have been organised by </w:t>
      </w:r>
      <w:r w:rsidR="00D3662F">
        <w:lastRenderedPageBreak/>
        <w:t>agents</w:t>
      </w:r>
      <w:r w:rsidR="00873C2C">
        <w:t xml:space="preserve">; Alfred Swaine, </w:t>
      </w:r>
      <w:r w:rsidR="00EF79A2">
        <w:t>who was connected with the South Australia Company</w:t>
      </w:r>
      <w:r w:rsidR="00EF79A2">
        <w:rPr>
          <w:rStyle w:val="FootnoteReference"/>
        </w:rPr>
        <w:footnoteReference w:id="3"/>
      </w:r>
      <w:r w:rsidR="00EF79A2">
        <w:t>,</w:t>
      </w:r>
      <w:r w:rsidR="00873C2C">
        <w:t xml:space="preserve"> came with the</w:t>
      </w:r>
      <w:r w:rsidR="00EF79A2">
        <w:t>m</w:t>
      </w:r>
      <w:r w:rsidR="00873C2C">
        <w:t xml:space="preserve"> on the Patel</w:t>
      </w:r>
      <w:r w:rsidR="00D6451A">
        <w:t xml:space="preserve"> </w:t>
      </w:r>
      <w:r w:rsidR="000F3931">
        <w:t xml:space="preserve">in a cabin </w:t>
      </w:r>
      <w:r w:rsidR="00D6451A">
        <w:t xml:space="preserve">and </w:t>
      </w:r>
      <w:r w:rsidR="00DA4647">
        <w:t>is likely to</w:t>
      </w:r>
      <w:r w:rsidR="000F3931">
        <w:t xml:space="preserve"> have</w:t>
      </w:r>
      <w:r w:rsidR="00D6451A">
        <w:t xml:space="preserve"> organised all the European and ocean travel</w:t>
      </w:r>
      <w:r w:rsidR="00873C2C">
        <w:t xml:space="preserve">. </w:t>
      </w:r>
      <w:r w:rsidR="00D3662F" w:rsidRPr="00D3662F">
        <w:t> </w:t>
      </w:r>
      <w:r w:rsidR="00FC000A">
        <w:t xml:space="preserve">  </w:t>
      </w:r>
    </w:p>
    <w:p w14:paraId="206F06D3" w14:textId="77777777" w:rsidR="00FC500C" w:rsidRDefault="00FC500C" w:rsidP="00FC500C">
      <w:pPr>
        <w:keepNext/>
        <w:jc w:val="center"/>
      </w:pPr>
      <w:r w:rsidRPr="00947C61">
        <w:rPr>
          <w:noProof/>
        </w:rPr>
        <w:drawing>
          <wp:inline distT="0" distB="0" distL="0" distR="0" wp14:anchorId="387CDF53" wp14:editId="2990340B">
            <wp:extent cx="4960442" cy="4587475"/>
            <wp:effectExtent l="0" t="0" r="0" b="3810"/>
            <wp:docPr id="18" name="Picture 17">
              <a:extLst xmlns:a="http://schemas.openxmlformats.org/drawingml/2006/main">
                <a:ext uri="{FF2B5EF4-FFF2-40B4-BE49-F238E27FC236}">
                  <a16:creationId xmlns:a16="http://schemas.microsoft.com/office/drawing/2014/main" id="{5179C09F-807E-FFCC-1EB1-70F692559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179C09F-807E-FFCC-1EB1-70F6925596C3}"/>
                        </a:ext>
                      </a:extLst>
                    </pic:cNvPr>
                    <pic:cNvPicPr>
                      <a:picLocks noChangeAspect="1"/>
                    </pic:cNvPicPr>
                  </pic:nvPicPr>
                  <pic:blipFill>
                    <a:blip r:embed="rId11"/>
                    <a:stretch>
                      <a:fillRect/>
                    </a:stretch>
                  </pic:blipFill>
                  <pic:spPr>
                    <a:xfrm>
                      <a:off x="0" y="0"/>
                      <a:ext cx="4960442" cy="4587475"/>
                    </a:xfrm>
                    <a:prstGeom prst="rect">
                      <a:avLst/>
                    </a:prstGeom>
                  </pic:spPr>
                </pic:pic>
              </a:graphicData>
            </a:graphic>
          </wp:inline>
        </w:drawing>
      </w:r>
    </w:p>
    <w:p w14:paraId="623956DB" w14:textId="1B0C08F8" w:rsidR="00FC500C" w:rsidRDefault="00FC500C" w:rsidP="00FC500C">
      <w:pPr>
        <w:pStyle w:val="Caption"/>
        <w:jc w:val="center"/>
      </w:pPr>
      <w:r>
        <w:t xml:space="preserve">Figure </w:t>
      </w:r>
      <w:fldSimple w:instr=" SEQ Figure \* ARABIC ">
        <w:r w:rsidR="00C972AF">
          <w:rPr>
            <w:noProof/>
          </w:rPr>
          <w:t>2</w:t>
        </w:r>
      </w:fldSimple>
      <w:r>
        <w:t xml:space="preserve"> </w:t>
      </w:r>
      <w:proofErr w:type="spellStart"/>
      <w:r>
        <w:t>Cichagora</w:t>
      </w:r>
      <w:proofErr w:type="spellEnd"/>
      <w:r>
        <w:t xml:space="preserve"> to Bremen. Bradtke Family History, page 12.</w:t>
      </w:r>
    </w:p>
    <w:p w14:paraId="7A7AEDC2" w14:textId="77777777" w:rsidR="001E38EC" w:rsidRPr="001E38EC" w:rsidRDefault="001E38EC" w:rsidP="001E38EC">
      <w:r w:rsidRPr="001E38EC">
        <w:rPr>
          <w:b/>
          <w:bCs/>
        </w:rPr>
        <w:t>Departure:</w:t>
      </w:r>
      <w:r w:rsidRPr="001E38EC">
        <w:t> April 21, 1845, from Bremen, Germany</w:t>
      </w:r>
    </w:p>
    <w:p w14:paraId="5900363E" w14:textId="77777777" w:rsidR="001E38EC" w:rsidRPr="001E38EC" w:rsidRDefault="001E38EC" w:rsidP="001E38EC">
      <w:r w:rsidRPr="001E38EC">
        <w:rPr>
          <w:b/>
          <w:bCs/>
        </w:rPr>
        <w:t>Arrival:</w:t>
      </w:r>
      <w:r w:rsidRPr="001E38EC">
        <w:t> September 18, 1845, at Port Adelaide, South Australia</w:t>
      </w:r>
    </w:p>
    <w:p w14:paraId="782DD1A5" w14:textId="77777777" w:rsidR="001E38EC" w:rsidRPr="001E38EC" w:rsidRDefault="001E38EC" w:rsidP="001E38EC">
      <w:r w:rsidRPr="001E38EC">
        <w:rPr>
          <w:b/>
          <w:bCs/>
        </w:rPr>
        <w:t>Vessel Details:</w:t>
      </w:r>
      <w:r w:rsidRPr="001E38EC">
        <w:t> 510-ton, 3-masted ship</w:t>
      </w:r>
    </w:p>
    <w:p w14:paraId="10D0A114" w14:textId="77777777" w:rsidR="001E38EC" w:rsidRPr="001E38EC" w:rsidRDefault="001E38EC" w:rsidP="001E38EC">
      <w:r w:rsidRPr="001E38EC">
        <w:rPr>
          <w:b/>
          <w:bCs/>
        </w:rPr>
        <w:t>Captain:</w:t>
      </w:r>
      <w:r w:rsidRPr="001E38EC">
        <w:t> Eugene Laun</w:t>
      </w:r>
    </w:p>
    <w:p w14:paraId="2EC032BD" w14:textId="77777777" w:rsidR="001E38EC" w:rsidRPr="001E38EC" w:rsidRDefault="001E38EC" w:rsidP="001E38EC">
      <w:r w:rsidRPr="001E38EC">
        <w:rPr>
          <w:b/>
          <w:bCs/>
        </w:rPr>
        <w:t>Surgeon Superintendent:</w:t>
      </w:r>
      <w:r w:rsidRPr="001E38EC">
        <w:t xml:space="preserve"> L. </w:t>
      </w:r>
      <w:proofErr w:type="spellStart"/>
      <w:r w:rsidRPr="001E38EC">
        <w:t>Callmann</w:t>
      </w:r>
      <w:proofErr w:type="spellEnd"/>
    </w:p>
    <w:p w14:paraId="1E675886" w14:textId="77777777" w:rsidR="001E38EC" w:rsidRPr="001E38EC" w:rsidRDefault="001E38EC" w:rsidP="001E38EC">
      <w:r w:rsidRPr="001E38EC">
        <w:rPr>
          <w:b/>
          <w:bCs/>
        </w:rPr>
        <w:t>Passengers:</w:t>
      </w:r>
      <w:r w:rsidRPr="001E38EC">
        <w:t> 262 German immigrants</w:t>
      </w:r>
    </w:p>
    <w:p w14:paraId="7DBBDAAD" w14:textId="77777777" w:rsidR="001E38EC" w:rsidRPr="001E38EC" w:rsidRDefault="001E38EC" w:rsidP="001E38EC">
      <w:r w:rsidRPr="001E38EC">
        <w:rPr>
          <w:b/>
          <w:bCs/>
        </w:rPr>
        <w:t>Journey Statistics:</w:t>
      </w:r>
      <w:r w:rsidRPr="001E38EC">
        <w:t> 7 births and 11 deaths occurred during the voyage </w:t>
      </w:r>
    </w:p>
    <w:p w14:paraId="76E2C8B6" w14:textId="73A14E92" w:rsidR="00FC500C" w:rsidRDefault="00062617" w:rsidP="00062617">
      <w:r>
        <w:lastRenderedPageBreak/>
        <w:t xml:space="preserve">The Bradtke family </w:t>
      </w:r>
      <w:r w:rsidR="00C97FB4">
        <w:t xml:space="preserve">(parents with girls 22 and 10, boys 16 and 5 and a baby boy born on board) </w:t>
      </w:r>
      <w:r>
        <w:t>travelled in steerage. According to Don Charlwood</w:t>
      </w:r>
      <w:r>
        <w:rPr>
          <w:rStyle w:val="FootnoteReference"/>
        </w:rPr>
        <w:footnoteReference w:id="4"/>
      </w:r>
      <w:r>
        <w:t>,</w:t>
      </w:r>
      <w:r w:rsidR="007C715D">
        <w:t xml:space="preserve"> emigrants travelling in steerage</w:t>
      </w:r>
      <w:r w:rsidR="000F3931">
        <w:t xml:space="preserve"> at that time</w:t>
      </w:r>
      <w:r w:rsidR="007C715D">
        <w:t>:</w:t>
      </w:r>
    </w:p>
    <w:p w14:paraId="43B04C44" w14:textId="4CFDE922" w:rsidR="007C715D" w:rsidRDefault="007C715D" w:rsidP="007C715D">
      <w:pPr>
        <w:ind w:left="720"/>
        <w:rPr>
          <w:i/>
          <w:iCs/>
        </w:rPr>
      </w:pPr>
      <w:r>
        <w:rPr>
          <w:i/>
          <w:iCs/>
        </w:rPr>
        <w:t xml:space="preserve">… shared dormitory-type accommodation, based on government experience in transporting convicts. </w:t>
      </w:r>
    </w:p>
    <w:p w14:paraId="2BF0FA9E" w14:textId="77777777" w:rsidR="006C367E" w:rsidRDefault="007C715D" w:rsidP="007C715D">
      <w:pPr>
        <w:ind w:left="720"/>
        <w:rPr>
          <w:i/>
          <w:iCs/>
        </w:rPr>
      </w:pPr>
      <w:r>
        <w:rPr>
          <w:i/>
          <w:iCs/>
        </w:rPr>
        <w:t xml:space="preserve">… </w:t>
      </w:r>
    </w:p>
    <w:p w14:paraId="5D0240A6" w14:textId="7C88ECCA" w:rsidR="007C715D" w:rsidRDefault="007C715D" w:rsidP="007C715D">
      <w:pPr>
        <w:ind w:left="720"/>
        <w:rPr>
          <w:i/>
          <w:iCs/>
        </w:rPr>
      </w:pPr>
      <w:r>
        <w:rPr>
          <w:i/>
          <w:iCs/>
        </w:rPr>
        <w:t xml:space="preserve">‘Each berth was six feet square, and into each berth four people were fitted’ that is eighteen inches of width for each person. The allowance for convicts </w:t>
      </w:r>
      <w:r w:rsidR="006C367E">
        <w:rPr>
          <w:i/>
          <w:iCs/>
        </w:rPr>
        <w:t>had been precisely the same, for slaves, sixteen inches.</w:t>
      </w:r>
    </w:p>
    <w:p w14:paraId="5195D18E" w14:textId="56AA4752" w:rsidR="006C367E" w:rsidRDefault="006C367E" w:rsidP="007C715D">
      <w:pPr>
        <w:ind w:left="720"/>
        <w:rPr>
          <w:i/>
          <w:iCs/>
        </w:rPr>
      </w:pPr>
      <w:r>
        <w:rPr>
          <w:i/>
          <w:iCs/>
        </w:rPr>
        <w:t>…</w:t>
      </w:r>
    </w:p>
    <w:p w14:paraId="6A1F61F3" w14:textId="66AB113C" w:rsidR="006C367E" w:rsidRDefault="006C367E" w:rsidP="007C715D">
      <w:pPr>
        <w:ind w:left="720"/>
        <w:rPr>
          <w:i/>
          <w:iCs/>
        </w:rPr>
      </w:pPr>
      <w:r>
        <w:rPr>
          <w:i/>
          <w:iCs/>
        </w:rPr>
        <w:t>… headroom of only six feet four inches was claustrophobic, though on many ships it was more than this by a foot, even by two feet. Heavy beams cut into this headroom. Within this vertical space fitted the two levels of bunks, the lower one with a space of six inches beneath it for passengers’ heavier belongings. (</w:t>
      </w:r>
      <w:r w:rsidR="0077675D">
        <w:rPr>
          <w:i/>
          <w:iCs/>
        </w:rPr>
        <w:t xml:space="preserve">Their </w:t>
      </w:r>
      <w:r>
        <w:rPr>
          <w:i/>
          <w:iCs/>
        </w:rPr>
        <w:t>bulkier possessions were stowed in the hold.)</w:t>
      </w:r>
    </w:p>
    <w:p w14:paraId="50C97576" w14:textId="0E1BC3ED" w:rsidR="0077675D" w:rsidRDefault="0077675D" w:rsidP="007C715D">
      <w:pPr>
        <w:ind w:left="720"/>
        <w:rPr>
          <w:i/>
          <w:iCs/>
        </w:rPr>
      </w:pPr>
      <w:r>
        <w:rPr>
          <w:i/>
          <w:iCs/>
        </w:rPr>
        <w:t xml:space="preserve">… on most ships, a couple had not only another couple above or below them, but a second couple within arm’s reach to one side. Within a six-foot square, four people slept; four more lay directly below them. Engravings show that on some ships curtains suspended from rings could be drawn across the open ends or the sides of bunks, but they were not fitted on all ships, and were also too stifling to use in the tropics. </w:t>
      </w:r>
    </w:p>
    <w:p w14:paraId="2F93FE97" w14:textId="5E4A0039" w:rsidR="00CA4153" w:rsidRDefault="000F3931" w:rsidP="00C97FB4">
      <w:r>
        <w:t xml:space="preserve">Louise would have slept in the single women’s </w:t>
      </w:r>
      <w:r w:rsidR="00CA4153">
        <w:t>quarters,</w:t>
      </w:r>
      <w:r>
        <w:t xml:space="preserve"> and the oldest boy </w:t>
      </w:r>
      <w:r w:rsidR="00CA4153">
        <w:t xml:space="preserve">would have slept in the single men’s quarters at the other end of the ship. </w:t>
      </w:r>
    </w:p>
    <w:p w14:paraId="26749E30" w14:textId="2696DBAB" w:rsidR="00C97FB4" w:rsidRPr="00C97FB4" w:rsidRDefault="00CA4153" w:rsidP="00C97FB4">
      <w:r>
        <w:t xml:space="preserve">After almost 5 months at sea with no recorded stops, they reached Port Adelaide which </w:t>
      </w:r>
      <w:r w:rsidR="00C97FB4">
        <w:t>had been settled for less than 9 years. The watercolour by an unknown artist provides a picture of what awaited them.</w:t>
      </w:r>
    </w:p>
    <w:p w14:paraId="116FD903" w14:textId="77777777" w:rsidR="00FC500C" w:rsidRDefault="00FC500C" w:rsidP="00FC500C">
      <w:pPr>
        <w:keepNext/>
        <w:jc w:val="center"/>
      </w:pPr>
      <w:r w:rsidRPr="00FC500C">
        <w:rPr>
          <w:noProof/>
        </w:rPr>
        <w:lastRenderedPageBreak/>
        <w:drawing>
          <wp:inline distT="0" distB="0" distL="0" distR="0" wp14:anchorId="2B7478A5" wp14:editId="2E452B55">
            <wp:extent cx="4825148" cy="3866172"/>
            <wp:effectExtent l="0" t="0" r="0" b="1270"/>
            <wp:docPr id="878155143" name="Picture Placeholder 4" descr="A drawing of a city&#10;&#10;AI-generated content may be incorrect.">
              <a:extLst xmlns:a="http://schemas.openxmlformats.org/drawingml/2006/main">
                <a:ext uri="{FF2B5EF4-FFF2-40B4-BE49-F238E27FC236}">
                  <a16:creationId xmlns:a16="http://schemas.microsoft.com/office/drawing/2014/main" id="{BB54C7CD-119A-220A-E660-2510865D7E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A drawing of a city&#10;&#10;AI-generated content may be incorrect.">
                      <a:extLst>
                        <a:ext uri="{FF2B5EF4-FFF2-40B4-BE49-F238E27FC236}">
                          <a16:creationId xmlns:a16="http://schemas.microsoft.com/office/drawing/2014/main" id="{BB54C7CD-119A-220A-E660-2510865D7E2D}"/>
                        </a:ext>
                      </a:extLst>
                    </pic:cNvPr>
                    <pic:cNvPicPr>
                      <a:picLocks noGrp="1" noChangeAspect="1"/>
                    </pic:cNvPicPr>
                  </pic:nvPicPr>
                  <pic:blipFill>
                    <a:blip r:embed="rId12"/>
                    <a:srcRect l="4822" r="18114" b="3"/>
                    <a:stretch>
                      <a:fillRect/>
                    </a:stretch>
                  </pic:blipFill>
                  <pic:spPr>
                    <a:xfrm>
                      <a:off x="0" y="0"/>
                      <a:ext cx="4825148" cy="3866172"/>
                    </a:xfrm>
                    <a:prstGeom prst="rect">
                      <a:avLst/>
                    </a:prstGeom>
                    <a:solidFill>
                      <a:schemeClr val="bg1">
                        <a:lumMod val="85000"/>
                      </a:schemeClr>
                    </a:solidFill>
                    <a:ln w="9525" cap="sq">
                      <a:noFill/>
                      <a:miter lim="800000"/>
                    </a:ln>
                    <a:effectLst/>
                  </pic:spPr>
                </pic:pic>
              </a:graphicData>
            </a:graphic>
          </wp:inline>
        </w:drawing>
      </w:r>
    </w:p>
    <w:p w14:paraId="031F560B" w14:textId="39C23EFE" w:rsidR="00FC500C" w:rsidRDefault="00FC500C" w:rsidP="00FC500C">
      <w:pPr>
        <w:pStyle w:val="Caption"/>
      </w:pPr>
      <w:r>
        <w:t xml:space="preserve">Figure </w:t>
      </w:r>
      <w:fldSimple w:instr=" SEQ Figure \* ARABIC ">
        <w:r w:rsidR="00C972AF">
          <w:rPr>
            <w:noProof/>
          </w:rPr>
          <w:t>3</w:t>
        </w:r>
      </w:fldSimple>
      <w:r>
        <w:t xml:space="preserve"> </w:t>
      </w:r>
      <w:r w:rsidRPr="00415287">
        <w:t xml:space="preserve">Artist </w:t>
      </w:r>
      <w:proofErr w:type="gramStart"/>
      <w:r w:rsidRPr="00415287">
        <w:t>Unknown ,</w:t>
      </w:r>
      <w:proofErr w:type="gramEnd"/>
      <w:r w:rsidRPr="00415287">
        <w:t xml:space="preserve"> Australia (20th Century), Port Adelaide, 1845, from A Watercolour in the National Art Gallery, Adelaide, Pen and ink sketch</w:t>
      </w:r>
      <w:r>
        <w:t xml:space="preserve">. </w:t>
      </w:r>
      <w:r>
        <w:rPr>
          <w:rStyle w:val="FootnoteReference"/>
        </w:rPr>
        <w:footnoteReference w:id="5"/>
      </w:r>
    </w:p>
    <w:p w14:paraId="3A03BC99" w14:textId="1915A8C1" w:rsidR="00C97FB4" w:rsidRPr="00C97FB4" w:rsidRDefault="00C97FB4" w:rsidP="00C97FB4">
      <w:r>
        <w:t xml:space="preserve">According to the </w:t>
      </w:r>
      <w:r>
        <w:rPr>
          <w:i/>
          <w:iCs/>
        </w:rPr>
        <w:t>Bradtke Family History</w:t>
      </w:r>
      <w:r>
        <w:t xml:space="preserve">, </w:t>
      </w:r>
      <w:r w:rsidR="00C972AF">
        <w:t>the family was probably met by Johanne Louise’s uncle, Daniel Schlinke, and taken by wagon and foot to his home in Bethany, where he was operating a water mill.</w:t>
      </w:r>
    </w:p>
    <w:p w14:paraId="44F8E83F" w14:textId="0802F170" w:rsidR="00FC500C" w:rsidRDefault="00047CB1" w:rsidP="00CF7EA5">
      <w:r w:rsidRPr="00047CB1">
        <w:rPr>
          <w:noProof/>
        </w:rPr>
        <w:lastRenderedPageBreak/>
        <w:drawing>
          <wp:inline distT="0" distB="0" distL="0" distR="0" wp14:anchorId="73F51393" wp14:editId="2BEA7131">
            <wp:extent cx="5731510" cy="4238625"/>
            <wp:effectExtent l="0" t="0" r="2540" b="9525"/>
            <wp:docPr id="2" name="Picture 1">
              <a:extLst xmlns:a="http://schemas.openxmlformats.org/drawingml/2006/main">
                <a:ext uri="{FF2B5EF4-FFF2-40B4-BE49-F238E27FC236}">
                  <a16:creationId xmlns:a16="http://schemas.microsoft.com/office/drawing/2014/main" id="{7CFCB093-1CDA-9EB2-F3EA-9EB732AF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FCB093-1CDA-9EB2-F3EA-9EB732AFABDD}"/>
                        </a:ext>
                      </a:extLst>
                    </pic:cNvPr>
                    <pic:cNvPicPr>
                      <a:picLocks noChangeAspect="1"/>
                    </pic:cNvPicPr>
                  </pic:nvPicPr>
                  <pic:blipFill>
                    <a:blip r:embed="rId13"/>
                    <a:stretch>
                      <a:fillRect/>
                    </a:stretch>
                  </pic:blipFill>
                  <pic:spPr>
                    <a:xfrm>
                      <a:off x="0" y="0"/>
                      <a:ext cx="5731510" cy="4238625"/>
                    </a:xfrm>
                    <a:prstGeom prst="rect">
                      <a:avLst/>
                    </a:prstGeom>
                  </pic:spPr>
                </pic:pic>
              </a:graphicData>
            </a:graphic>
          </wp:inline>
        </w:drawing>
      </w:r>
    </w:p>
    <w:p w14:paraId="532B6E7C" w14:textId="6F8852D0" w:rsidR="00CA4F0D" w:rsidRDefault="00C972AF" w:rsidP="00CF7EA5">
      <w:r>
        <w:t xml:space="preserve">1845 was thus a year that began in a village in Prussia, involved a family moving with a large group of people to a place where they would have seen the sea for the first time and then travelling in cramped conditions </w:t>
      </w:r>
      <w:r w:rsidR="00CA4153">
        <w:t xml:space="preserve">on a ship </w:t>
      </w:r>
      <w:r>
        <w:t>to an unknown place and finishing in an undeveloped rural village.</w:t>
      </w:r>
    </w:p>
    <w:p w14:paraId="2952B758" w14:textId="3DFA74C3" w:rsidR="00DA4647" w:rsidRDefault="00DA4647" w:rsidP="00CF7EA5">
      <w:r>
        <w:t>Philip R Mann,</w:t>
      </w:r>
    </w:p>
    <w:p w14:paraId="580494E5" w14:textId="1BEB0EBA" w:rsidR="00DA4647" w:rsidRPr="00CF7EA5" w:rsidRDefault="00DA4647" w:rsidP="00CF7EA5">
      <w:r>
        <w:t>3 December 2025.</w:t>
      </w:r>
    </w:p>
    <w:p w14:paraId="63C4B2B8" w14:textId="77777777" w:rsidR="00947C61" w:rsidRDefault="00947C61" w:rsidP="007B1E65">
      <w:pPr>
        <w:pStyle w:val="Heading2"/>
      </w:pPr>
      <w:r>
        <w:t>Sources</w:t>
      </w:r>
    </w:p>
    <w:p w14:paraId="53382E5B" w14:textId="62B8BA01" w:rsidR="00947C61" w:rsidRPr="00947C61" w:rsidRDefault="00947C61" w:rsidP="00947C61">
      <w:r w:rsidRPr="00947C61">
        <w:rPr>
          <w:i/>
          <w:iCs/>
        </w:rPr>
        <w:t xml:space="preserve">Bradtke Family History, </w:t>
      </w:r>
      <w:r w:rsidRPr="00947C61">
        <w:t>2000.</w:t>
      </w:r>
    </w:p>
    <w:p w14:paraId="2D5736A5" w14:textId="77777777" w:rsidR="00947C61" w:rsidRPr="00947C61" w:rsidRDefault="00947C61" w:rsidP="00947C61">
      <w:hyperlink r:id="rId14" w:history="1">
        <w:r w:rsidRPr="00947C61">
          <w:rPr>
            <w:rStyle w:val="Hyperlink"/>
          </w:rPr>
          <w:t>https://www.cichagora.pl/historia/</w:t>
        </w:r>
      </w:hyperlink>
      <w:r w:rsidRPr="00947C61">
        <w:t>, accessed 13 May 2025.</w:t>
      </w:r>
    </w:p>
    <w:p w14:paraId="05D82CC4" w14:textId="77777777" w:rsidR="00947C61" w:rsidRPr="00947C61" w:rsidRDefault="00947C61" w:rsidP="00947C61">
      <w:r w:rsidRPr="00947C61">
        <w:t xml:space="preserve">Poznan Project, </w:t>
      </w:r>
      <w:hyperlink r:id="rId15" w:history="1">
        <w:r w:rsidRPr="00947C61">
          <w:rPr>
            <w:rStyle w:val="Hyperlink"/>
          </w:rPr>
          <w:t>http://poznan-project.psnc.pl/index.php?lang=en#prettyPhoto</w:t>
        </w:r>
      </w:hyperlink>
      <w:r w:rsidRPr="00947C61">
        <w:t>.</w:t>
      </w:r>
    </w:p>
    <w:p w14:paraId="5139FFFE" w14:textId="77777777" w:rsidR="00947C61" w:rsidRPr="00947C61" w:rsidRDefault="00947C61" w:rsidP="00947C61">
      <w:r w:rsidRPr="00947C61">
        <w:rPr>
          <w:i/>
          <w:iCs/>
        </w:rPr>
        <w:t xml:space="preserve">https://www.flickr.com/photos/paelocalhistory/13753634913, </w:t>
      </w:r>
      <w:r w:rsidRPr="00947C61">
        <w:t>accessed 2 August 2025.</w:t>
      </w:r>
    </w:p>
    <w:p w14:paraId="391E943B" w14:textId="77777777" w:rsidR="00947C61" w:rsidRDefault="00947C61" w:rsidP="00947C61">
      <w:pPr>
        <w:rPr>
          <w:i/>
          <w:iCs/>
          <w:lang w:val="en-US"/>
        </w:rPr>
      </w:pPr>
      <w:r w:rsidRPr="00947C61">
        <w:rPr>
          <w:lang w:val="en-US"/>
        </w:rPr>
        <w:t xml:space="preserve">H.F.W. Proeve, </w:t>
      </w:r>
      <w:r w:rsidRPr="00947C61">
        <w:rPr>
          <w:i/>
          <w:iCs/>
          <w:lang w:val="en-US"/>
        </w:rPr>
        <w:t>A Dwelling-Place at Bethany: The Story of a Village Church.</w:t>
      </w:r>
    </w:p>
    <w:p w14:paraId="1AA5CFB0" w14:textId="6F11A350" w:rsidR="00582ADC" w:rsidRDefault="00582ADC" w:rsidP="00947C61">
      <w:pPr>
        <w:rPr>
          <w:i/>
          <w:iCs/>
        </w:rPr>
      </w:pPr>
      <w:hyperlink r:id="rId16" w:history="1">
        <w:r w:rsidRPr="00582ADC">
          <w:rPr>
            <w:rStyle w:val="Hyperlink"/>
            <w:i/>
            <w:iCs/>
          </w:rPr>
          <w:t>http://hauland.de/aus-der-kirchenchronik-von-hammer-boruy-einweihung-der-kirche-1777-und-einpfarrung-der-gemeinde-chicagora-1817/</w:t>
        </w:r>
      </w:hyperlink>
      <w:r>
        <w:rPr>
          <w:i/>
          <w:iCs/>
        </w:rPr>
        <w:t>.</w:t>
      </w:r>
    </w:p>
    <w:p w14:paraId="441BEC3D" w14:textId="1A5E12E5" w:rsidR="00FC500C" w:rsidRPr="00FC500C" w:rsidRDefault="00FC500C" w:rsidP="00FC500C">
      <w:pPr>
        <w:rPr>
          <w:rStyle w:val="Hyperlink"/>
          <w:i/>
          <w:iCs/>
        </w:rPr>
      </w:pPr>
      <w:hyperlink r:id="rId17" w:history="1">
        <w:r w:rsidRPr="007833D4">
          <w:rPr>
            <w:rStyle w:val="Hyperlink"/>
            <w:i/>
            <w:iCs/>
          </w:rPr>
          <w:t>https://www.theodorebruceauctions.com.au/auction-lot/artist-unknown-australia-20th-century-port-a_33E45508A9</w:t>
        </w:r>
      </w:hyperlink>
      <w:r>
        <w:rPr>
          <w:rStyle w:val="Hyperlink"/>
          <w:i/>
          <w:iCs/>
        </w:rPr>
        <w:t xml:space="preserve">, </w:t>
      </w:r>
      <w:r w:rsidRPr="00FC500C">
        <w:t xml:space="preserve">accessed 11 </w:t>
      </w:r>
      <w:r>
        <w:t>November</w:t>
      </w:r>
      <w:r w:rsidRPr="00FC500C">
        <w:t xml:space="preserve"> 2025</w:t>
      </w:r>
      <w:r w:rsidRPr="00FC500C">
        <w:rPr>
          <w:rStyle w:val="Hyperlink"/>
          <w:i/>
          <w:iCs/>
        </w:rPr>
        <w:t>.</w:t>
      </w:r>
    </w:p>
    <w:p w14:paraId="030A8FE7" w14:textId="1C5BB751" w:rsidR="00CF7EA5" w:rsidRPr="00A34E5C" w:rsidRDefault="00753CF0" w:rsidP="00A34E5C">
      <w:r>
        <w:lastRenderedPageBreak/>
        <w:t xml:space="preserve">Don Charlwood, </w:t>
      </w:r>
      <w:r>
        <w:rPr>
          <w:i/>
          <w:iCs/>
        </w:rPr>
        <w:t xml:space="preserve">The Long Farewell: A history of the first migrations to Australia, </w:t>
      </w:r>
      <w:r w:rsidR="00062617">
        <w:t>2018.</w:t>
      </w:r>
    </w:p>
    <w:sectPr w:rsidR="00CF7EA5" w:rsidRPr="00A34E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6DB2A" w14:textId="77777777" w:rsidR="00854517" w:rsidRDefault="00854517" w:rsidP="00FE702F">
      <w:pPr>
        <w:spacing w:after="0" w:line="240" w:lineRule="auto"/>
      </w:pPr>
      <w:r>
        <w:separator/>
      </w:r>
    </w:p>
  </w:endnote>
  <w:endnote w:type="continuationSeparator" w:id="0">
    <w:p w14:paraId="13A23927" w14:textId="77777777" w:rsidR="00854517" w:rsidRDefault="00854517" w:rsidP="00FE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00439" w14:textId="77777777" w:rsidR="00854517" w:rsidRDefault="00854517" w:rsidP="00FE702F">
      <w:pPr>
        <w:spacing w:after="0" w:line="240" w:lineRule="auto"/>
      </w:pPr>
      <w:r>
        <w:separator/>
      </w:r>
    </w:p>
  </w:footnote>
  <w:footnote w:type="continuationSeparator" w:id="0">
    <w:p w14:paraId="58F515DC" w14:textId="77777777" w:rsidR="00854517" w:rsidRDefault="00854517" w:rsidP="00FE702F">
      <w:pPr>
        <w:spacing w:after="0" w:line="240" w:lineRule="auto"/>
      </w:pPr>
      <w:r>
        <w:continuationSeparator/>
      </w:r>
    </w:p>
  </w:footnote>
  <w:footnote w:id="1">
    <w:p w14:paraId="1B6B35DD" w14:textId="7479B7C9" w:rsidR="00FE702F" w:rsidRDefault="00FE702F">
      <w:pPr>
        <w:pStyle w:val="FootnoteText"/>
      </w:pPr>
      <w:r>
        <w:rPr>
          <w:rStyle w:val="FootnoteReference"/>
        </w:rPr>
        <w:footnoteRef/>
      </w:r>
      <w:r>
        <w:t xml:space="preserve"> </w:t>
      </w:r>
      <w:r w:rsidRPr="00FE702F">
        <w:t>Father’s name</w:t>
      </w:r>
      <w:r>
        <w:t xml:space="preserve"> was</w:t>
      </w:r>
      <w:r w:rsidRPr="00FE702F">
        <w:t xml:space="preserve"> left blank on her birth </w:t>
      </w:r>
      <w:r w:rsidR="00DA4647">
        <w:t>record</w:t>
      </w:r>
      <w:r w:rsidRPr="00FE702F">
        <w:t>.</w:t>
      </w:r>
    </w:p>
  </w:footnote>
  <w:footnote w:id="2">
    <w:p w14:paraId="014569A9" w14:textId="77777777" w:rsidR="00CF7EA5" w:rsidRDefault="00CF7EA5" w:rsidP="00CF7EA5">
      <w:pPr>
        <w:pStyle w:val="FootnoteText"/>
      </w:pPr>
      <w:r>
        <w:rPr>
          <w:rStyle w:val="FootnoteReference"/>
        </w:rPr>
        <w:footnoteRef/>
      </w:r>
      <w:r>
        <w:t xml:space="preserve"> </w:t>
      </w:r>
      <w:hyperlink r:id="rId1" w:history="1">
        <w:r>
          <w:rPr>
            <w:rStyle w:val="Hyperlink"/>
          </w:rPr>
          <w:t>https://www.cichagora.pl/historia/</w:t>
        </w:r>
      </w:hyperlink>
      <w:r>
        <w:t>, accessed 13 May 2025.</w:t>
      </w:r>
    </w:p>
  </w:footnote>
  <w:footnote w:id="3">
    <w:p w14:paraId="2E50A8D3" w14:textId="104E573E" w:rsidR="00EF79A2" w:rsidRDefault="00EF79A2">
      <w:pPr>
        <w:pStyle w:val="FootnoteText"/>
      </w:pPr>
      <w:r>
        <w:rPr>
          <w:rStyle w:val="FootnoteReference"/>
        </w:rPr>
        <w:footnoteRef/>
      </w:r>
      <w:r>
        <w:t xml:space="preserve"> His obituary shows he was born in Weimar,</w:t>
      </w:r>
      <w:r w:rsidR="00EC407B">
        <w:t xml:space="preserve"> Germany,</w:t>
      </w:r>
      <w:r>
        <w:t xml:space="preserve"> </w:t>
      </w:r>
      <w:r w:rsidRPr="00EF79A2">
        <w:t>on</w:t>
      </w:r>
      <w:r>
        <w:t xml:space="preserve"> 28</w:t>
      </w:r>
      <w:r w:rsidRPr="00EF79A2">
        <w:t xml:space="preserve"> February </w:t>
      </w:r>
      <w:r>
        <w:t>18</w:t>
      </w:r>
      <w:r w:rsidRPr="00EF79A2">
        <w:t>19</w:t>
      </w:r>
      <w:r>
        <w:t xml:space="preserve"> and died in Norwood, SA, on 2 May 1919. </w:t>
      </w:r>
      <w:r w:rsidRPr="00EF79A2">
        <w:t xml:space="preserve">Register (Adelaide, </w:t>
      </w:r>
      <w:proofErr w:type="gramStart"/>
      <w:r w:rsidRPr="00EF79A2">
        <w:t>SA :</w:t>
      </w:r>
      <w:proofErr w:type="gramEnd"/>
      <w:r w:rsidRPr="00EF79A2">
        <w:t xml:space="preserve"> 1901 - 1929), Monday 3 May 1909, page 4</w:t>
      </w:r>
      <w:r>
        <w:t xml:space="preserve">, </w:t>
      </w:r>
      <w:r w:rsidRPr="00EF79A2">
        <w:t>https://trove.nla.gov.au/newspaper/article/57865457</w:t>
      </w:r>
    </w:p>
  </w:footnote>
  <w:footnote w:id="4">
    <w:p w14:paraId="7B015ADA" w14:textId="4D526C95" w:rsidR="00062617" w:rsidRDefault="00062617">
      <w:pPr>
        <w:pStyle w:val="FootnoteText"/>
      </w:pPr>
      <w:r>
        <w:rPr>
          <w:rStyle w:val="FootnoteReference"/>
        </w:rPr>
        <w:footnoteRef/>
      </w:r>
      <w:r>
        <w:t xml:space="preserve"> Don Charlwood, </w:t>
      </w:r>
      <w:r>
        <w:rPr>
          <w:i/>
          <w:iCs/>
        </w:rPr>
        <w:t xml:space="preserve">The Long Farewell: A history of the first migrations to Australia, </w:t>
      </w:r>
      <w:r>
        <w:t>2018.</w:t>
      </w:r>
    </w:p>
  </w:footnote>
  <w:footnote w:id="5">
    <w:p w14:paraId="31314405" w14:textId="5BC2C48E" w:rsidR="00FC500C" w:rsidRDefault="00FC500C" w:rsidP="00FC500C">
      <w:pPr>
        <w:pStyle w:val="Caption"/>
      </w:pPr>
      <w:r>
        <w:rPr>
          <w:rStyle w:val="FootnoteReference"/>
        </w:rPr>
        <w:footnoteRef/>
      </w:r>
      <w:r>
        <w:t xml:space="preserve"> </w:t>
      </w:r>
      <w:hyperlink r:id="rId2" w:history="1">
        <w:r w:rsidRPr="007833D4">
          <w:rPr>
            <w:rStyle w:val="Hyperlink"/>
          </w:rPr>
          <w:t>https://www.theodorebruceauctions.com.au/auction-lot/artist-unknown-australia-20th-century-port-a_33E45508A9</w:t>
        </w:r>
      </w:hyperlink>
      <w:r>
        <w:t>, accessed 11 June 2025.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1FB"/>
    <w:rsid w:val="00047CB1"/>
    <w:rsid w:val="00062617"/>
    <w:rsid w:val="000A762A"/>
    <w:rsid w:val="000F3931"/>
    <w:rsid w:val="0010479F"/>
    <w:rsid w:val="001E38EC"/>
    <w:rsid w:val="002755FD"/>
    <w:rsid w:val="002B5608"/>
    <w:rsid w:val="003D78F6"/>
    <w:rsid w:val="00582ADC"/>
    <w:rsid w:val="005F783C"/>
    <w:rsid w:val="0061481B"/>
    <w:rsid w:val="00622615"/>
    <w:rsid w:val="006234B1"/>
    <w:rsid w:val="006C367E"/>
    <w:rsid w:val="00753CF0"/>
    <w:rsid w:val="0077675D"/>
    <w:rsid w:val="007820D4"/>
    <w:rsid w:val="007B1E65"/>
    <w:rsid w:val="007C715D"/>
    <w:rsid w:val="008331FB"/>
    <w:rsid w:val="0084009B"/>
    <w:rsid w:val="00854517"/>
    <w:rsid w:val="00873C2C"/>
    <w:rsid w:val="00884254"/>
    <w:rsid w:val="00947C61"/>
    <w:rsid w:val="00972DEF"/>
    <w:rsid w:val="00A34E5C"/>
    <w:rsid w:val="00C972AF"/>
    <w:rsid w:val="00C97FB4"/>
    <w:rsid w:val="00CA4153"/>
    <w:rsid w:val="00CA4F0D"/>
    <w:rsid w:val="00CD784D"/>
    <w:rsid w:val="00CF7EA5"/>
    <w:rsid w:val="00D3662F"/>
    <w:rsid w:val="00D6451A"/>
    <w:rsid w:val="00D72FB6"/>
    <w:rsid w:val="00DA4647"/>
    <w:rsid w:val="00E16857"/>
    <w:rsid w:val="00E60EC4"/>
    <w:rsid w:val="00E641D5"/>
    <w:rsid w:val="00EC407B"/>
    <w:rsid w:val="00EF79A2"/>
    <w:rsid w:val="00F26A98"/>
    <w:rsid w:val="00FA2AA9"/>
    <w:rsid w:val="00FB61CA"/>
    <w:rsid w:val="00FC000A"/>
    <w:rsid w:val="00FC500C"/>
    <w:rsid w:val="00FE7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579B"/>
  <w15:chartTrackingRefBased/>
  <w15:docId w15:val="{373B4524-10AC-4D19-9242-C99707FB5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1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31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331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331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1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1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1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1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1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1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331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331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331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1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1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1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1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1FB"/>
    <w:rPr>
      <w:rFonts w:eastAsiaTheme="majorEastAsia" w:cstheme="majorBidi"/>
      <w:color w:val="272727" w:themeColor="text1" w:themeTint="D8"/>
    </w:rPr>
  </w:style>
  <w:style w:type="paragraph" w:styleId="Title">
    <w:name w:val="Title"/>
    <w:basedOn w:val="Normal"/>
    <w:next w:val="Normal"/>
    <w:link w:val="TitleChar"/>
    <w:uiPriority w:val="10"/>
    <w:qFormat/>
    <w:rsid w:val="008331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1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1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1FB"/>
    <w:pPr>
      <w:spacing w:before="160"/>
      <w:jc w:val="center"/>
    </w:pPr>
    <w:rPr>
      <w:i/>
      <w:iCs/>
      <w:color w:val="404040" w:themeColor="text1" w:themeTint="BF"/>
    </w:rPr>
  </w:style>
  <w:style w:type="character" w:customStyle="1" w:styleId="QuoteChar">
    <w:name w:val="Quote Char"/>
    <w:basedOn w:val="DefaultParagraphFont"/>
    <w:link w:val="Quote"/>
    <w:uiPriority w:val="29"/>
    <w:rsid w:val="008331FB"/>
    <w:rPr>
      <w:i/>
      <w:iCs/>
      <w:color w:val="404040" w:themeColor="text1" w:themeTint="BF"/>
    </w:rPr>
  </w:style>
  <w:style w:type="paragraph" w:styleId="ListParagraph">
    <w:name w:val="List Paragraph"/>
    <w:basedOn w:val="Normal"/>
    <w:uiPriority w:val="34"/>
    <w:qFormat/>
    <w:rsid w:val="008331FB"/>
    <w:pPr>
      <w:ind w:left="720"/>
      <w:contextualSpacing/>
    </w:pPr>
  </w:style>
  <w:style w:type="character" w:styleId="IntenseEmphasis">
    <w:name w:val="Intense Emphasis"/>
    <w:basedOn w:val="DefaultParagraphFont"/>
    <w:uiPriority w:val="21"/>
    <w:qFormat/>
    <w:rsid w:val="008331FB"/>
    <w:rPr>
      <w:i/>
      <w:iCs/>
      <w:color w:val="0F4761" w:themeColor="accent1" w:themeShade="BF"/>
    </w:rPr>
  </w:style>
  <w:style w:type="paragraph" w:styleId="IntenseQuote">
    <w:name w:val="Intense Quote"/>
    <w:basedOn w:val="Normal"/>
    <w:next w:val="Normal"/>
    <w:link w:val="IntenseQuoteChar"/>
    <w:uiPriority w:val="30"/>
    <w:qFormat/>
    <w:rsid w:val="008331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1FB"/>
    <w:rPr>
      <w:i/>
      <w:iCs/>
      <w:color w:val="0F4761" w:themeColor="accent1" w:themeShade="BF"/>
    </w:rPr>
  </w:style>
  <w:style w:type="character" w:styleId="IntenseReference">
    <w:name w:val="Intense Reference"/>
    <w:basedOn w:val="DefaultParagraphFont"/>
    <w:uiPriority w:val="32"/>
    <w:qFormat/>
    <w:rsid w:val="008331FB"/>
    <w:rPr>
      <w:b/>
      <w:bCs/>
      <w:smallCaps/>
      <w:color w:val="0F4761" w:themeColor="accent1" w:themeShade="BF"/>
      <w:spacing w:val="5"/>
    </w:rPr>
  </w:style>
  <w:style w:type="character" w:styleId="Hyperlink">
    <w:name w:val="Hyperlink"/>
    <w:basedOn w:val="DefaultParagraphFont"/>
    <w:uiPriority w:val="99"/>
    <w:unhideWhenUsed/>
    <w:rsid w:val="00FE702F"/>
    <w:rPr>
      <w:color w:val="467886" w:themeColor="hyperlink"/>
      <w:u w:val="single"/>
    </w:rPr>
  </w:style>
  <w:style w:type="character" w:styleId="UnresolvedMention">
    <w:name w:val="Unresolved Mention"/>
    <w:basedOn w:val="DefaultParagraphFont"/>
    <w:uiPriority w:val="99"/>
    <w:semiHidden/>
    <w:unhideWhenUsed/>
    <w:rsid w:val="00FE702F"/>
    <w:rPr>
      <w:color w:val="605E5C"/>
      <w:shd w:val="clear" w:color="auto" w:fill="E1DFDD"/>
    </w:rPr>
  </w:style>
  <w:style w:type="paragraph" w:styleId="FootnoteText">
    <w:name w:val="footnote text"/>
    <w:basedOn w:val="Normal"/>
    <w:link w:val="FootnoteTextChar"/>
    <w:uiPriority w:val="99"/>
    <w:semiHidden/>
    <w:unhideWhenUsed/>
    <w:rsid w:val="00FE70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702F"/>
    <w:rPr>
      <w:sz w:val="20"/>
      <w:szCs w:val="20"/>
    </w:rPr>
  </w:style>
  <w:style w:type="character" w:styleId="FootnoteReference">
    <w:name w:val="footnote reference"/>
    <w:basedOn w:val="DefaultParagraphFont"/>
    <w:uiPriority w:val="99"/>
    <w:semiHidden/>
    <w:unhideWhenUsed/>
    <w:rsid w:val="00FE702F"/>
    <w:rPr>
      <w:vertAlign w:val="superscript"/>
    </w:rPr>
  </w:style>
  <w:style w:type="paragraph" w:styleId="Caption">
    <w:name w:val="caption"/>
    <w:basedOn w:val="Normal"/>
    <w:next w:val="Normal"/>
    <w:uiPriority w:val="35"/>
    <w:unhideWhenUsed/>
    <w:qFormat/>
    <w:rsid w:val="00FC500C"/>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theodorebruceauctions.com.au/auction-lot/artist-unknown-australia-20th-century-port-a_33E45508A9" TargetMode="External"/><Relationship Id="rId2" Type="http://schemas.openxmlformats.org/officeDocument/2006/relationships/styles" Target="styles.xml"/><Relationship Id="rId16" Type="http://schemas.openxmlformats.org/officeDocument/2006/relationships/hyperlink" Target="http://hauland.de/aus-der-kirchenchronik-von-hammer-boruy-einweihung-der-kirche-1777-und-einpfarrung-der-gemeinde-chicagora-181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poznan-project.psnc.pl/index.php?lang=e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auland.de/aus-der-kirchenchronik-von-hammer-boruy-einweihung-der-kirche-1777-und-einpfarrung-der-gemeinde-chicagora-1817/" TargetMode="External"/><Relationship Id="rId14" Type="http://schemas.openxmlformats.org/officeDocument/2006/relationships/hyperlink" Target="https://www.cichagora.pl/histor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heodorebruceauctions.com.au/auction-lot/artist-unknown-australia-20th-century-port-a_33E45508A9" TargetMode="External"/><Relationship Id="rId1" Type="http://schemas.openxmlformats.org/officeDocument/2006/relationships/hyperlink" Target="https://www.cichagora.pl/his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0E2E0-768F-4D39-B4C1-E8C1EFE6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Mann</dc:creator>
  <cp:keywords/>
  <dc:description/>
  <cp:lastModifiedBy>Philip Mann</cp:lastModifiedBy>
  <cp:revision>11</cp:revision>
  <cp:lastPrinted>2025-11-13T05:18:00Z</cp:lastPrinted>
  <dcterms:created xsi:type="dcterms:W3CDTF">2025-10-29T23:55:00Z</dcterms:created>
  <dcterms:modified xsi:type="dcterms:W3CDTF">2025-12-03T04:53:00Z</dcterms:modified>
</cp:coreProperties>
</file>